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52A40" w14:textId="558A076C" w:rsidR="0067501C" w:rsidRPr="00D80516" w:rsidRDefault="00D80516" w:rsidP="0067501C">
      <w:pPr>
        <w:spacing w:after="0" w:line="240" w:lineRule="auto"/>
        <w:rPr>
          <w:rFonts w:ascii="Titillium Web" w:hAnsi="Titillium Web"/>
          <w:b/>
          <w:sz w:val="32"/>
          <w:szCs w:val="32"/>
          <w:lang w:val="es-ES"/>
        </w:rPr>
      </w:pPr>
      <w:r>
        <w:rPr>
          <w:rFonts w:ascii="Titillium Web" w:hAnsi="Titillium Web"/>
          <w:b/>
          <w:sz w:val="32"/>
          <w:szCs w:val="32"/>
          <w:lang w:val="es-ES"/>
        </w:rPr>
        <w:t xml:space="preserve">Elementos de robustos sistemas de comunicaciones para cooperativas </w:t>
      </w:r>
    </w:p>
    <w:p w14:paraId="04B2E4C5" w14:textId="4983E7EF" w:rsidR="0067501C" w:rsidRPr="00D80516" w:rsidRDefault="00D80516" w:rsidP="0067501C">
      <w:pPr>
        <w:spacing w:after="0" w:line="240" w:lineRule="auto"/>
        <w:rPr>
          <w:rFonts w:ascii="Titillium Web" w:hAnsi="Titillium Web"/>
          <w:i/>
          <w:lang w:val="es-ES"/>
        </w:rPr>
      </w:pPr>
      <w:r>
        <w:rPr>
          <w:rFonts w:ascii="Titillium Web" w:hAnsi="Titillium Web"/>
          <w:i/>
          <w:lang w:val="es-ES"/>
        </w:rPr>
        <w:t>Nota</w:t>
      </w:r>
      <w:r w:rsidR="0067501C" w:rsidRPr="00D80516">
        <w:rPr>
          <w:rFonts w:ascii="Titillium Web" w:hAnsi="Titillium Web"/>
          <w:i/>
          <w:lang w:val="es-ES"/>
        </w:rPr>
        <w:t xml:space="preserve">: </w:t>
      </w:r>
      <w:r>
        <w:rPr>
          <w:rFonts w:ascii="Titillium Web" w:hAnsi="Titillium Web"/>
          <w:i/>
          <w:lang w:val="es-ES"/>
        </w:rPr>
        <w:t xml:space="preserve">este no es un plan preceptivo, solo un menú descriptivo de todas las </w:t>
      </w:r>
      <w:r w:rsidR="00AB693C">
        <w:rPr>
          <w:rFonts w:ascii="Titillium Web" w:hAnsi="Titillium Web"/>
          <w:i/>
          <w:lang w:val="es-ES"/>
        </w:rPr>
        <w:t>prácticas</w:t>
      </w:r>
      <w:r>
        <w:rPr>
          <w:rFonts w:ascii="Titillium Web" w:hAnsi="Titillium Web"/>
          <w:i/>
          <w:lang w:val="es-ES"/>
        </w:rPr>
        <w:t xml:space="preserve"> de cooperativas que pudimos encontrar o conceptualizar. No todas las cooperativas hacen todo lo que se encuentra en esta lista. </w:t>
      </w:r>
    </w:p>
    <w:p w14:paraId="5DFF156F" w14:textId="77777777" w:rsidR="0067501C" w:rsidRPr="00D80516" w:rsidRDefault="0067501C" w:rsidP="0067501C">
      <w:pPr>
        <w:spacing w:after="0" w:line="240" w:lineRule="auto"/>
        <w:rPr>
          <w:rFonts w:ascii="Titillium Web" w:hAnsi="Titillium Web"/>
          <w:lang w:val="es-ES"/>
        </w:rPr>
      </w:pPr>
    </w:p>
    <w:p w14:paraId="1DE62230" w14:textId="685C095C" w:rsidR="0067501C" w:rsidRPr="00D80516" w:rsidRDefault="00D80516" w:rsidP="0067501C">
      <w:pPr>
        <w:spacing w:after="0" w:line="240" w:lineRule="auto"/>
        <w:rPr>
          <w:rFonts w:ascii="Titillium Web" w:hAnsi="Titillium Web"/>
          <w:b/>
          <w:lang w:val="es-ES"/>
        </w:rPr>
      </w:pPr>
      <w:r>
        <w:rPr>
          <w:rFonts w:ascii="Titillium Web" w:hAnsi="Titillium Web"/>
          <w:b/>
          <w:lang w:val="es-ES"/>
        </w:rPr>
        <w:t xml:space="preserve">Principios rectores de buenos sistemas de comunicaciones para cooperativas </w:t>
      </w:r>
    </w:p>
    <w:p w14:paraId="20BA3D44" w14:textId="1D7178E2" w:rsidR="0067501C" w:rsidRPr="00D80516" w:rsidRDefault="00D80516" w:rsidP="0067501C">
      <w:pPr>
        <w:pStyle w:val="ListParagraph"/>
        <w:numPr>
          <w:ilvl w:val="0"/>
          <w:numId w:val="2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Deben de proveerle a todo el mundo la información que necesitan para participar de manera efectiva en la gobernación de la cooperativa </w:t>
      </w:r>
    </w:p>
    <w:p w14:paraId="23CD2B87" w14:textId="4A787F56" w:rsidR="0067501C" w:rsidRPr="00D80516" w:rsidRDefault="00D80516" w:rsidP="0067501C">
      <w:pPr>
        <w:pStyle w:val="ListParagraph"/>
        <w:numPr>
          <w:ilvl w:val="0"/>
          <w:numId w:val="2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Deben de ayudar a los miembros entender lo que se espera de ellos/as</w:t>
      </w:r>
    </w:p>
    <w:p w14:paraId="110B9B02" w14:textId="26C13CBA" w:rsidR="0067501C" w:rsidRPr="00D80516" w:rsidRDefault="00D80516" w:rsidP="0067501C">
      <w:pPr>
        <w:pStyle w:val="ListParagraph"/>
        <w:numPr>
          <w:ilvl w:val="0"/>
          <w:numId w:val="2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Deben de apoyar la comunicación </w:t>
      </w:r>
      <w:r w:rsidR="00AB693C">
        <w:rPr>
          <w:rFonts w:ascii="Titillium Web" w:hAnsi="Titillium Web"/>
          <w:lang w:val="es-ES"/>
        </w:rPr>
        <w:t>cálida</w:t>
      </w:r>
      <w:r>
        <w:rPr>
          <w:rFonts w:ascii="Titillium Web" w:hAnsi="Titillium Web"/>
          <w:lang w:val="es-ES"/>
        </w:rPr>
        <w:t>, compasiva y directa entre los/as co-trabajadores/as</w:t>
      </w:r>
    </w:p>
    <w:p w14:paraId="054661B7" w14:textId="6642B6B7" w:rsidR="0067501C" w:rsidRPr="00D80516" w:rsidRDefault="00D80516" w:rsidP="0067501C">
      <w:pPr>
        <w:pStyle w:val="ListParagraph"/>
        <w:numPr>
          <w:ilvl w:val="0"/>
          <w:numId w:val="2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Deben de funcionar en capas, de manera multifacética y ser </w:t>
      </w:r>
      <w:r w:rsidR="00AB693C">
        <w:rPr>
          <w:rFonts w:ascii="Titillium Web" w:hAnsi="Titillium Web"/>
          <w:lang w:val="es-ES"/>
        </w:rPr>
        <w:t>redundantes</w:t>
      </w:r>
      <w:r>
        <w:rPr>
          <w:rFonts w:ascii="Titillium Web" w:hAnsi="Titillium Web"/>
          <w:lang w:val="es-ES"/>
        </w:rPr>
        <w:t xml:space="preserve"> para asegurar que llegar</w:t>
      </w:r>
      <w:r w:rsidR="009F1187">
        <w:rPr>
          <w:rFonts w:ascii="Times New Roman" w:hAnsi="Times New Roman"/>
          <w:lang w:val="es-ES"/>
        </w:rPr>
        <w:t>á</w:t>
      </w:r>
      <w:r>
        <w:rPr>
          <w:rFonts w:ascii="Titillium Web" w:hAnsi="Titillium Web"/>
          <w:lang w:val="es-ES"/>
        </w:rPr>
        <w:t xml:space="preserve">n a las personas </w:t>
      </w:r>
    </w:p>
    <w:p w14:paraId="781F4F9E" w14:textId="3FA7C0A7" w:rsidR="0067501C" w:rsidRPr="00D80516" w:rsidRDefault="00D80516" w:rsidP="0067501C">
      <w:pPr>
        <w:pStyle w:val="ListParagraph"/>
        <w:numPr>
          <w:ilvl w:val="1"/>
          <w:numId w:val="2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Lo tan simple que puedan ser, lo tan complejo que necesitan ser</w:t>
      </w:r>
    </w:p>
    <w:p w14:paraId="643E4BB2" w14:textId="48506A4A" w:rsidR="0067501C" w:rsidRPr="00D80516" w:rsidRDefault="00D80516" w:rsidP="0067501C">
      <w:pPr>
        <w:pStyle w:val="ListParagraph"/>
        <w:numPr>
          <w:ilvl w:val="1"/>
          <w:numId w:val="2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Diseñado con la temporalidad apropiada en mente: algunas necesidades de comunicaciones necesitan ser </w:t>
      </w:r>
      <w:r w:rsidR="00AB693C">
        <w:rPr>
          <w:rFonts w:ascii="Titillium Web" w:hAnsi="Titillium Web"/>
          <w:lang w:val="es-ES"/>
        </w:rPr>
        <w:t>rápidas</w:t>
      </w:r>
      <w:r>
        <w:rPr>
          <w:rFonts w:ascii="Titillium Web" w:hAnsi="Titillium Web"/>
          <w:lang w:val="es-ES"/>
        </w:rPr>
        <w:t xml:space="preserve"> y ef</w:t>
      </w:r>
      <w:r w:rsidR="009F1187">
        <w:rPr>
          <w:rFonts w:ascii="Titillium Web" w:hAnsi="Titillium Web"/>
          <w:lang w:val="es-ES"/>
        </w:rPr>
        <w:t>í</w:t>
      </w:r>
      <w:r>
        <w:rPr>
          <w:rFonts w:ascii="Titillium Web" w:hAnsi="Titillium Web"/>
          <w:lang w:val="es-ES"/>
        </w:rPr>
        <w:t xml:space="preserve">meras, otra comunicación es de </w:t>
      </w:r>
      <w:r w:rsidR="00AB693C">
        <w:rPr>
          <w:rFonts w:ascii="Titillium Web" w:hAnsi="Titillium Web"/>
          <w:lang w:val="es-ES"/>
        </w:rPr>
        <w:t>más</w:t>
      </w:r>
      <w:r>
        <w:rPr>
          <w:rFonts w:ascii="Titillium Web" w:hAnsi="Titillium Web"/>
          <w:lang w:val="es-ES"/>
        </w:rPr>
        <w:t xml:space="preserve"> largo plazo y totalmente documentada. Deben de distinguir entre estas dos también. </w:t>
      </w:r>
    </w:p>
    <w:p w14:paraId="44EAC9B3" w14:textId="77777777" w:rsidR="0067501C" w:rsidRPr="00D80516" w:rsidRDefault="0067501C" w:rsidP="0067501C">
      <w:pPr>
        <w:spacing w:after="0" w:line="240" w:lineRule="auto"/>
        <w:rPr>
          <w:rFonts w:ascii="Titillium Web" w:hAnsi="Titillium Web"/>
          <w:lang w:val="es-ES"/>
        </w:rPr>
      </w:pPr>
    </w:p>
    <w:p w14:paraId="7E48B04A" w14:textId="065ED869" w:rsidR="0067501C" w:rsidRPr="00D80516" w:rsidRDefault="00AB693C" w:rsidP="0067501C">
      <w:pPr>
        <w:spacing w:after="0" w:line="240" w:lineRule="auto"/>
        <w:rPr>
          <w:rFonts w:ascii="Titillium Web" w:hAnsi="Titillium Web"/>
          <w:b/>
          <w:lang w:val="es-ES"/>
        </w:rPr>
      </w:pPr>
      <w:r>
        <w:rPr>
          <w:rFonts w:ascii="Titillium Web" w:hAnsi="Titillium Web"/>
          <w:b/>
          <w:lang w:val="es-ES"/>
        </w:rPr>
        <w:t>Capacitación</w:t>
      </w:r>
      <w:r w:rsidR="00D80516">
        <w:rPr>
          <w:rFonts w:ascii="Titillium Web" w:hAnsi="Titillium Web"/>
          <w:b/>
          <w:lang w:val="es-ES"/>
        </w:rPr>
        <w:t xml:space="preserve"> y apoyo para comunicación abierta </w:t>
      </w:r>
    </w:p>
    <w:p w14:paraId="45A00609" w14:textId="5ADBA0CB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Orientación</w:t>
      </w:r>
      <w:r w:rsidR="00D80516">
        <w:rPr>
          <w:rFonts w:ascii="Titillium Web" w:hAnsi="Titillium Web"/>
          <w:lang w:val="es-ES"/>
        </w:rPr>
        <w:t xml:space="preserve"> y capacitación para nuevos miembros en todos los sistemas de comunicaciones y las correspondientes expectativas </w:t>
      </w:r>
    </w:p>
    <w:p w14:paraId="27146A8D" w14:textId="2DF147FE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Capacitación</w:t>
      </w:r>
      <w:r w:rsidR="00D80516">
        <w:rPr>
          <w:rFonts w:ascii="Titillium Web" w:hAnsi="Titillium Web"/>
          <w:lang w:val="es-ES"/>
        </w:rPr>
        <w:t xml:space="preserve"> para dar y recibir la </w:t>
      </w:r>
      <w:r>
        <w:rPr>
          <w:rFonts w:ascii="Titillium Web" w:hAnsi="Titillium Web"/>
          <w:lang w:val="es-ES"/>
        </w:rPr>
        <w:t>crítica</w:t>
      </w:r>
      <w:r w:rsidR="00D80516">
        <w:rPr>
          <w:rFonts w:ascii="Titillium Web" w:hAnsi="Titillium Web"/>
          <w:lang w:val="es-ES"/>
        </w:rPr>
        <w:t xml:space="preserve"> constructiva para todos los miembros de la cooperativa </w:t>
      </w:r>
    </w:p>
    <w:p w14:paraId="5548708C" w14:textId="36649F83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Capacitación</w:t>
      </w:r>
      <w:r w:rsidR="00D80516">
        <w:rPr>
          <w:rFonts w:ascii="Titillium Web" w:hAnsi="Titillium Web"/>
          <w:lang w:val="es-ES"/>
        </w:rPr>
        <w:t xml:space="preserve"> en la resolución de conflicto y la mediación para un subconjunto o comité o equipo </w:t>
      </w:r>
    </w:p>
    <w:p w14:paraId="57129615" w14:textId="6EAAE48A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Capacitación</w:t>
      </w:r>
      <w:r w:rsidR="00D80516">
        <w:rPr>
          <w:rFonts w:ascii="Titillium Web" w:hAnsi="Titillium Web"/>
          <w:lang w:val="es-ES"/>
        </w:rPr>
        <w:t xml:space="preserve"> en las dinámicas de poder dentro de la comunicación y como estos pueden ser afectados por la raza, la clase, el </w:t>
      </w:r>
      <w:r>
        <w:rPr>
          <w:rFonts w:ascii="Titillium Web" w:hAnsi="Titillium Web"/>
          <w:lang w:val="es-ES"/>
        </w:rPr>
        <w:t>género</w:t>
      </w:r>
      <w:r w:rsidR="00D80516">
        <w:rPr>
          <w:rFonts w:ascii="Titillium Web" w:hAnsi="Titillium Web"/>
          <w:lang w:val="es-ES"/>
        </w:rPr>
        <w:t xml:space="preserve">, la edad u otros factores </w:t>
      </w:r>
    </w:p>
    <w:p w14:paraId="7F147AB1" w14:textId="1DE4EEDC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Capacitación</w:t>
      </w:r>
      <w:r w:rsidR="00D80516">
        <w:rPr>
          <w:rFonts w:ascii="Titillium Web" w:hAnsi="Titillium Web"/>
          <w:lang w:val="es-ES"/>
        </w:rPr>
        <w:t xml:space="preserve"> para hablar en publico </w:t>
      </w:r>
    </w:p>
    <w:p w14:paraId="4FB3DB0D" w14:textId="53899532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Capacitación</w:t>
      </w:r>
      <w:r w:rsidR="00D80516">
        <w:rPr>
          <w:rFonts w:ascii="Titillium Web" w:hAnsi="Titillium Web"/>
          <w:lang w:val="es-ES"/>
        </w:rPr>
        <w:t xml:space="preserve"> en facilitación para algunos o todos los miembros </w:t>
      </w:r>
    </w:p>
    <w:p w14:paraId="41E75A37" w14:textId="77777777" w:rsidR="0067501C" w:rsidRPr="00D80516" w:rsidRDefault="0067501C" w:rsidP="0067501C">
      <w:pPr>
        <w:spacing w:after="0" w:line="240" w:lineRule="auto"/>
        <w:rPr>
          <w:rFonts w:ascii="Titillium Web" w:hAnsi="Titillium Web"/>
          <w:b/>
          <w:lang w:val="es-ES"/>
        </w:rPr>
      </w:pPr>
    </w:p>
    <w:p w14:paraId="637CB74F" w14:textId="30E57C26" w:rsidR="0067501C" w:rsidRPr="00D80516" w:rsidRDefault="00D80516" w:rsidP="0067501C">
      <w:pPr>
        <w:spacing w:after="0" w:line="240" w:lineRule="auto"/>
        <w:rPr>
          <w:rFonts w:ascii="Titillium Web" w:hAnsi="Titillium Web"/>
          <w:b/>
          <w:lang w:val="es-ES"/>
        </w:rPr>
      </w:pPr>
      <w:r>
        <w:rPr>
          <w:rFonts w:ascii="Titillium Web" w:hAnsi="Titillium Web"/>
          <w:b/>
          <w:lang w:val="es-ES"/>
        </w:rPr>
        <w:t xml:space="preserve">Sistemas físicos </w:t>
      </w:r>
    </w:p>
    <w:p w14:paraId="42914EE8" w14:textId="60DE5A1B" w:rsidR="0067501C" w:rsidRPr="00D80516" w:rsidRDefault="00D80516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Lugar accesible (carpeta o repisa o cartelera en la oficina) para </w:t>
      </w:r>
      <w:r w:rsidR="0020099D">
        <w:rPr>
          <w:rFonts w:ascii="Titillium Web" w:hAnsi="Titillium Web"/>
          <w:lang w:val="es-ES"/>
        </w:rPr>
        <w:t>que los miembros (</w:t>
      </w:r>
      <w:r w:rsidR="0020099D">
        <w:rPr>
          <w:rFonts w:ascii="Times New Roman" w:hAnsi="Times New Roman"/>
          <w:lang w:val="es-ES"/>
        </w:rPr>
        <w:t>¿</w:t>
      </w:r>
      <w:r w:rsidR="0020099D">
        <w:rPr>
          <w:rFonts w:ascii="Titillium Web" w:hAnsi="Titillium Web"/>
          <w:lang w:val="es-ES"/>
        </w:rPr>
        <w:t xml:space="preserve">y candidatos?) puedan leer </w:t>
      </w:r>
      <w:r>
        <w:rPr>
          <w:rFonts w:ascii="Titillium Web" w:hAnsi="Titillium Web"/>
          <w:lang w:val="es-ES"/>
        </w:rPr>
        <w:t>todos los documentos importantes de las finanzas y la gobernación</w:t>
      </w:r>
    </w:p>
    <w:p w14:paraId="4D339792" w14:textId="77777777" w:rsidR="0020099D" w:rsidRDefault="0020099D" w:rsidP="0067501C">
      <w:pPr>
        <w:pStyle w:val="ListParagraph"/>
        <w:numPr>
          <w:ilvl w:val="1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Estatutos </w:t>
      </w:r>
    </w:p>
    <w:p w14:paraId="29EDDEA6" w14:textId="77777777" w:rsidR="0020099D" w:rsidRDefault="0020099D" w:rsidP="0067501C">
      <w:pPr>
        <w:pStyle w:val="ListParagraph"/>
        <w:numPr>
          <w:ilvl w:val="1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Manual o políticas del personal </w:t>
      </w:r>
    </w:p>
    <w:p w14:paraId="446B2565" w14:textId="763AF965" w:rsidR="0020099D" w:rsidRDefault="0020099D" w:rsidP="0067501C">
      <w:pPr>
        <w:pStyle w:val="ListParagraph"/>
        <w:numPr>
          <w:ilvl w:val="1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Reportes financieros trimestrales de los </w:t>
      </w:r>
      <w:r w:rsidR="00AB693C">
        <w:rPr>
          <w:rFonts w:ascii="Titillium Web" w:hAnsi="Titillium Web"/>
          <w:lang w:val="es-ES"/>
        </w:rPr>
        <w:t>últimos cinco añ</w:t>
      </w:r>
      <w:r>
        <w:rPr>
          <w:rFonts w:ascii="Titillium Web" w:hAnsi="Titillium Web"/>
          <w:lang w:val="es-ES"/>
        </w:rPr>
        <w:t xml:space="preserve">os </w:t>
      </w:r>
    </w:p>
    <w:p w14:paraId="58B5AAA1" w14:textId="23ECD04B" w:rsidR="0020099D" w:rsidRDefault="0020099D" w:rsidP="0067501C">
      <w:pPr>
        <w:pStyle w:val="ListParagraph"/>
        <w:numPr>
          <w:ilvl w:val="1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Minuta de las reuniones de la junta directiva </w:t>
      </w:r>
    </w:p>
    <w:p w14:paraId="116C614F" w14:textId="3D4FEFFB" w:rsidR="0020099D" w:rsidRDefault="0020099D" w:rsidP="0067501C">
      <w:pPr>
        <w:pStyle w:val="ListParagraph"/>
        <w:numPr>
          <w:ilvl w:val="1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Minuta de las reuniones de la membresía</w:t>
      </w:r>
    </w:p>
    <w:p w14:paraId="24579180" w14:textId="70377163" w:rsidR="0067501C" w:rsidRPr="0020099D" w:rsidRDefault="0020099D" w:rsidP="0020099D">
      <w:pPr>
        <w:pStyle w:val="ListParagraph"/>
        <w:numPr>
          <w:ilvl w:val="1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Minuta de las reuniones de los comités </w:t>
      </w:r>
    </w:p>
    <w:p w14:paraId="4E759352" w14:textId="2B98A0E4" w:rsidR="0067501C" w:rsidRPr="00D80516" w:rsidRDefault="0020099D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lastRenderedPageBreak/>
        <w:t xml:space="preserve">Una </w:t>
      </w:r>
      <w:r w:rsidR="009D5CF3">
        <w:rPr>
          <w:rFonts w:ascii="Titillium Web" w:hAnsi="Titillium Web"/>
          <w:lang w:val="es-ES"/>
        </w:rPr>
        <w:t>tablero para colocar anuncios</w:t>
      </w:r>
      <w:r>
        <w:rPr>
          <w:rFonts w:ascii="Titillium Web" w:hAnsi="Titillium Web"/>
          <w:lang w:val="es-ES"/>
        </w:rPr>
        <w:t xml:space="preserve"> </w:t>
      </w:r>
      <w:bookmarkStart w:id="0" w:name="_GoBack"/>
      <w:bookmarkEnd w:id="0"/>
      <w:r>
        <w:rPr>
          <w:rFonts w:ascii="Titillium Web" w:hAnsi="Titillium Web"/>
          <w:lang w:val="es-ES"/>
        </w:rPr>
        <w:t xml:space="preserve">o una herramienta en internet donde los miembros puedan colocar asuntos para la agenda de las reuniones de la membresía y de la junta directiva. Incluye el tiempo anticipado para el asunto, quien deberá ser el punto de contacto, el resultado anticipado, y la urgencia. </w:t>
      </w:r>
    </w:p>
    <w:p w14:paraId="0FA196FF" w14:textId="0B71FCCD" w:rsidR="0067501C" w:rsidRPr="00D80516" w:rsidRDefault="0020099D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Gestionar la(s) herramienta(s) de comunicaciones: boletín o memorándum regular, reunión, cartelera </w:t>
      </w:r>
    </w:p>
    <w:p w14:paraId="452A5ED2" w14:textId="1F7363BC" w:rsidR="0067501C" w:rsidRPr="00D80516" w:rsidRDefault="0020099D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Herramienta(s) de comunicación para la membresía: cartelera física o herramienta en internet para discutir temas calientes antes o en lugar de las reuniones de la membresía </w:t>
      </w:r>
    </w:p>
    <w:p w14:paraId="0584823F" w14:textId="41086BD1" w:rsidR="0067501C" w:rsidRPr="00D80516" w:rsidRDefault="0020099D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Los miembros rellenan un “Perfil para la resolución de conflictos” que describe sus preferencias y </w:t>
      </w:r>
      <w:r w:rsidR="00AB693C">
        <w:rPr>
          <w:rFonts w:ascii="Titillium Web" w:hAnsi="Titillium Web"/>
          <w:lang w:val="es-ES"/>
        </w:rPr>
        <w:t>hábitos</w:t>
      </w:r>
      <w:r>
        <w:rPr>
          <w:rFonts w:ascii="Titillium Web" w:hAnsi="Titillium Web"/>
          <w:lang w:val="es-ES"/>
        </w:rPr>
        <w:t xml:space="preserve"> a la hora de manejar conflictos (ejemplo: </w:t>
      </w:r>
      <w:r w:rsidR="0067501C" w:rsidRPr="00D80516">
        <w:rPr>
          <w:rFonts w:ascii="Titillium Web" w:hAnsi="Titillium Web"/>
          <w:lang w:val="es-ES"/>
        </w:rPr>
        <w:t>Arizmendi CRP)</w:t>
      </w:r>
    </w:p>
    <w:p w14:paraId="47856A33" w14:textId="2DA7A76B" w:rsidR="0067501C" w:rsidRPr="00D80516" w:rsidRDefault="0020099D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Los miembros rellenan un “Perfil de comunicación” que describe su estilo de comunicación </w:t>
      </w:r>
    </w:p>
    <w:p w14:paraId="64481306" w14:textId="77777777" w:rsidR="0067501C" w:rsidRPr="00D80516" w:rsidRDefault="0067501C" w:rsidP="0067501C">
      <w:pPr>
        <w:pStyle w:val="ListParagraph"/>
        <w:spacing w:after="0" w:line="240" w:lineRule="auto"/>
        <w:rPr>
          <w:rFonts w:ascii="Titillium Web" w:hAnsi="Titillium Web"/>
          <w:lang w:val="es-ES"/>
        </w:rPr>
      </w:pPr>
    </w:p>
    <w:p w14:paraId="3C0EA79E" w14:textId="2A9EF0C9" w:rsidR="0067501C" w:rsidRPr="00D80516" w:rsidRDefault="0020099D" w:rsidP="0067501C">
      <w:pPr>
        <w:spacing w:after="0" w:line="240" w:lineRule="auto"/>
        <w:rPr>
          <w:rFonts w:ascii="Titillium Web" w:hAnsi="Titillium Web"/>
          <w:b/>
          <w:lang w:val="es-ES"/>
        </w:rPr>
      </w:pPr>
      <w:r>
        <w:rPr>
          <w:rFonts w:ascii="Titillium Web" w:hAnsi="Titillium Web"/>
          <w:b/>
          <w:lang w:val="es-ES"/>
        </w:rPr>
        <w:t xml:space="preserve">Expectativas y políticas claras </w:t>
      </w:r>
    </w:p>
    <w:p w14:paraId="19413B75" w14:textId="026E69FC" w:rsidR="0067501C" w:rsidRPr="00D80516" w:rsidRDefault="0020099D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Declaraciones sobre la cultura de la comunicación en la cooperativa</w:t>
      </w:r>
      <w:r w:rsidR="00167883">
        <w:rPr>
          <w:rFonts w:ascii="Titillium Web" w:hAnsi="Titillium Web"/>
          <w:lang w:val="es-ES"/>
        </w:rPr>
        <w:t xml:space="preserve"> (por ej. se anticipa las discusiones y los debates activos, “la mayoría somos introvertidos aquí”, los sistemas </w:t>
      </w:r>
      <w:r w:rsidR="00AB693C">
        <w:rPr>
          <w:rFonts w:ascii="Titillium Web" w:hAnsi="Titillium Web"/>
          <w:lang w:val="es-ES"/>
        </w:rPr>
        <w:t>explícitos</w:t>
      </w:r>
      <w:r w:rsidR="00167883">
        <w:rPr>
          <w:rFonts w:ascii="Titillium Web" w:hAnsi="Titillium Web"/>
          <w:lang w:val="es-ES"/>
        </w:rPr>
        <w:t xml:space="preserve"> que usa la cooperativa </w:t>
      </w:r>
      <w:r w:rsidR="00AB693C">
        <w:rPr>
          <w:rFonts w:ascii="Titillium Web" w:hAnsi="Titillium Web"/>
          <w:lang w:val="es-ES"/>
        </w:rPr>
        <w:t>así</w:t>
      </w:r>
      <w:r w:rsidR="00167883">
        <w:rPr>
          <w:rFonts w:ascii="Titillium Web" w:hAnsi="Titillium Web"/>
          <w:lang w:val="es-ES"/>
        </w:rPr>
        <w:t xml:space="preserve"> como NVCC o los métodos socráticos, etc.)</w:t>
      </w:r>
    </w:p>
    <w:p w14:paraId="7692AFEC" w14:textId="7087DDAA" w:rsidR="0067501C" w:rsidRPr="00D80516" w:rsidRDefault="00F67BE3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Se articulan por lo general las expectativas en las reuniones (cual es el propósito de cada reunión) </w:t>
      </w:r>
      <w:r w:rsidR="007D79BE">
        <w:rPr>
          <w:rFonts w:ascii="Titillium Web" w:hAnsi="Titillium Web"/>
          <w:lang w:val="es-ES"/>
        </w:rPr>
        <w:t>y en particular para los asuntos de la reunión (esto es, si un asunto es para información, discusión o voto)</w:t>
      </w:r>
    </w:p>
    <w:p w14:paraId="7473E851" w14:textId="5C52F199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Se articulan las expectativas de </w:t>
      </w:r>
      <w:r w:rsidR="00AB693C">
        <w:rPr>
          <w:rFonts w:ascii="Titillium Web" w:hAnsi="Titillium Web"/>
          <w:lang w:val="es-ES"/>
        </w:rPr>
        <w:t>cuán</w:t>
      </w:r>
      <w:r>
        <w:rPr>
          <w:rFonts w:ascii="Titillium Web" w:hAnsi="Titillium Web"/>
          <w:lang w:val="es-ES"/>
        </w:rPr>
        <w:t xml:space="preserve"> rápido deberán responder a los conflictos (por ej. conflictos intensos durante la misma jornada laboral, con seguimiento dentro de 3 </w:t>
      </w:r>
      <w:r w:rsidR="00AB693C">
        <w:rPr>
          <w:rFonts w:ascii="Titillium Web" w:hAnsi="Titillium Web"/>
          <w:lang w:val="es-ES"/>
        </w:rPr>
        <w:t>días</w:t>
      </w:r>
      <w:r>
        <w:rPr>
          <w:rFonts w:ascii="Titillium Web" w:hAnsi="Titillium Web"/>
          <w:lang w:val="es-ES"/>
        </w:rPr>
        <w:t xml:space="preserve">, </w:t>
      </w:r>
      <w:r w:rsidR="00AB693C">
        <w:rPr>
          <w:rFonts w:ascii="Titillium Web" w:hAnsi="Titillium Web"/>
          <w:lang w:val="es-ES"/>
        </w:rPr>
        <w:t>etc.</w:t>
      </w:r>
      <w:r>
        <w:rPr>
          <w:rFonts w:ascii="Titillium Web" w:hAnsi="Titillium Web"/>
          <w:lang w:val="es-ES"/>
        </w:rPr>
        <w:t>)</w:t>
      </w:r>
    </w:p>
    <w:p w14:paraId="1DA467BC" w14:textId="2DE5297E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Reuniones: la petición para asuntos para el orden del </w:t>
      </w:r>
      <w:r w:rsidR="00AB693C">
        <w:rPr>
          <w:rFonts w:ascii="Titillium Web" w:hAnsi="Titillium Web"/>
          <w:lang w:val="es-ES"/>
        </w:rPr>
        <w:t>día</w:t>
      </w:r>
      <w:r>
        <w:rPr>
          <w:rFonts w:ascii="Titillium Web" w:hAnsi="Titillium Web"/>
          <w:lang w:val="es-ES"/>
        </w:rPr>
        <w:t xml:space="preserve"> se hace x días antes de la reunión, el orden del </w:t>
      </w:r>
      <w:r w:rsidR="00AB693C">
        <w:rPr>
          <w:rFonts w:ascii="Titillium Web" w:hAnsi="Titillium Web"/>
          <w:lang w:val="es-ES"/>
        </w:rPr>
        <w:t>día</w:t>
      </w:r>
      <w:r>
        <w:rPr>
          <w:rFonts w:ascii="Titillium Web" w:hAnsi="Titillium Web"/>
          <w:lang w:val="es-ES"/>
        </w:rPr>
        <w:t xml:space="preserve"> se distribuye x días antes de la reunión, la minuta se distribuye x días después de la reunión </w:t>
      </w:r>
    </w:p>
    <w:p w14:paraId="472C57F6" w14:textId="376AA0B9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Políticas</w:t>
      </w:r>
      <w:r w:rsidR="007D79BE">
        <w:rPr>
          <w:rFonts w:ascii="Titillium Web" w:hAnsi="Titillium Web"/>
          <w:lang w:val="es-ES"/>
        </w:rPr>
        <w:t xml:space="preserve"> sobre la </w:t>
      </w:r>
      <w:r>
        <w:rPr>
          <w:rFonts w:ascii="Titillium Web" w:hAnsi="Titillium Web"/>
          <w:lang w:val="es-ES"/>
        </w:rPr>
        <w:t>representación</w:t>
      </w:r>
      <w:r w:rsidR="007D79BE">
        <w:rPr>
          <w:rFonts w:ascii="Titillium Web" w:hAnsi="Titillium Web"/>
          <w:lang w:val="es-ES"/>
        </w:rPr>
        <w:t xml:space="preserve"> de la cooperativa afuera: qui</w:t>
      </w:r>
      <w:r w:rsidR="007D79BE">
        <w:rPr>
          <w:rFonts w:ascii="Times New Roman" w:hAnsi="Times New Roman"/>
          <w:lang w:val="es-ES"/>
        </w:rPr>
        <w:t>é</w:t>
      </w:r>
      <w:r w:rsidR="007D79BE">
        <w:rPr>
          <w:rFonts w:ascii="Titillium Web" w:hAnsi="Titillium Web"/>
          <w:lang w:val="es-ES"/>
        </w:rPr>
        <w:t>n puede decir qu</w:t>
      </w:r>
      <w:r w:rsidR="007D79BE">
        <w:rPr>
          <w:rFonts w:ascii="Times New Roman" w:hAnsi="Times New Roman"/>
          <w:lang w:val="es-ES"/>
        </w:rPr>
        <w:t>é</w:t>
      </w:r>
      <w:r w:rsidR="007D79BE">
        <w:rPr>
          <w:rFonts w:ascii="Titillium Web" w:hAnsi="Titillium Web"/>
          <w:lang w:val="es-ES"/>
        </w:rPr>
        <w:t xml:space="preserve"> a qui</w:t>
      </w:r>
      <w:r w:rsidR="007D79BE">
        <w:rPr>
          <w:rFonts w:ascii="Times New Roman" w:hAnsi="Times New Roman"/>
          <w:lang w:val="es-ES"/>
        </w:rPr>
        <w:t>é</w:t>
      </w:r>
      <w:r w:rsidR="007D79BE">
        <w:rPr>
          <w:rFonts w:ascii="Titillium Web" w:hAnsi="Titillium Web"/>
          <w:lang w:val="es-ES"/>
        </w:rPr>
        <w:t xml:space="preserve">n </w:t>
      </w:r>
    </w:p>
    <w:p w14:paraId="0B3748D8" w14:textId="0965F245" w:rsidR="0067501C" w:rsidRPr="00D80516" w:rsidRDefault="00AB693C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Políticas</w:t>
      </w:r>
      <w:r w:rsidR="007D79BE">
        <w:rPr>
          <w:rFonts w:ascii="Titillium Web" w:hAnsi="Titillium Web"/>
          <w:lang w:val="es-ES"/>
        </w:rPr>
        <w:t xml:space="preserve"> para las redes sociales (publicaciones sobre los asuntos relacionados con el trabajo en Facebook, </w:t>
      </w:r>
      <w:r w:rsidR="0067501C" w:rsidRPr="00D80516">
        <w:rPr>
          <w:rFonts w:ascii="Titillium Web" w:hAnsi="Titillium Web"/>
          <w:lang w:val="es-ES"/>
        </w:rPr>
        <w:t xml:space="preserve">Twitter, </w:t>
      </w:r>
      <w:r w:rsidRPr="00D80516">
        <w:rPr>
          <w:rFonts w:ascii="Titillium Web" w:hAnsi="Titillium Web"/>
          <w:lang w:val="es-ES"/>
        </w:rPr>
        <w:t>etc.</w:t>
      </w:r>
      <w:r w:rsidR="0067501C" w:rsidRPr="00D80516">
        <w:rPr>
          <w:rFonts w:ascii="Titillium Web" w:hAnsi="Titillium Web"/>
          <w:lang w:val="es-ES"/>
        </w:rPr>
        <w:t xml:space="preserve">) </w:t>
      </w:r>
    </w:p>
    <w:p w14:paraId="62F23D17" w14:textId="77777777" w:rsidR="0067501C" w:rsidRPr="00D80516" w:rsidRDefault="0067501C" w:rsidP="0067501C">
      <w:pPr>
        <w:spacing w:after="0" w:line="240" w:lineRule="auto"/>
        <w:rPr>
          <w:rFonts w:ascii="Titillium Web" w:hAnsi="Titillium Web"/>
          <w:lang w:val="es-ES"/>
        </w:rPr>
      </w:pPr>
    </w:p>
    <w:p w14:paraId="021E8529" w14:textId="2E54AB60" w:rsidR="0067501C" w:rsidRPr="00D80516" w:rsidRDefault="007D79BE" w:rsidP="0067501C">
      <w:pPr>
        <w:spacing w:after="0" w:line="240" w:lineRule="auto"/>
        <w:rPr>
          <w:rFonts w:ascii="Titillium Web" w:hAnsi="Titillium Web"/>
          <w:b/>
          <w:lang w:val="es-ES"/>
        </w:rPr>
      </w:pPr>
      <w:r>
        <w:rPr>
          <w:rFonts w:ascii="Titillium Web" w:hAnsi="Titillium Web"/>
          <w:b/>
          <w:lang w:val="es-ES"/>
        </w:rPr>
        <w:t xml:space="preserve">Comunicaciones relacionadas con el personal </w:t>
      </w:r>
    </w:p>
    <w:p w14:paraId="67E7154A" w14:textId="4E51559B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>Manual o políticas del personal clara, actualizada y evaluadas cada año</w:t>
      </w:r>
    </w:p>
    <w:p w14:paraId="272895D9" w14:textId="2D46750B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Un equipo de resolución de conflictos es capacitado en mediación y la resolución de conflictos – puede actuar rápida para intervenciones en el momento o de manera </w:t>
      </w:r>
      <w:r w:rsidR="00AB693C">
        <w:rPr>
          <w:rFonts w:ascii="Titillium Web" w:hAnsi="Titillium Web"/>
          <w:lang w:val="es-ES"/>
        </w:rPr>
        <w:t>más</w:t>
      </w:r>
      <w:r>
        <w:rPr>
          <w:rFonts w:ascii="Titillium Web" w:hAnsi="Titillium Web"/>
          <w:lang w:val="es-ES"/>
        </w:rPr>
        <w:t xml:space="preserve"> profunda en situaciones de querellas de </w:t>
      </w:r>
      <w:r w:rsidR="00AB693C">
        <w:rPr>
          <w:rFonts w:ascii="Titillium Web" w:hAnsi="Titillium Web"/>
          <w:lang w:val="es-ES"/>
        </w:rPr>
        <w:t>más</w:t>
      </w:r>
      <w:r>
        <w:rPr>
          <w:rFonts w:ascii="Titillium Web" w:hAnsi="Titillium Web"/>
          <w:lang w:val="es-ES"/>
        </w:rPr>
        <w:t xml:space="preserve"> largo plazo </w:t>
      </w:r>
    </w:p>
    <w:p w14:paraId="5B0967C5" w14:textId="7FFCB5AC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Comité del personal – para anticipar, identificar y señalar los asuntos del personal a la junta directiva, gerencia, etc. En algunas cooperativas, este comité también intercede en conflictos. </w:t>
      </w:r>
    </w:p>
    <w:p w14:paraId="12DEC46A" w14:textId="721AA21E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Concejo social o gabinete de trabajadores/as-dueños/as – representa a la membresía general ante la gerencia y la junta directiva – </w:t>
      </w:r>
      <w:r w:rsidR="00AB693C">
        <w:rPr>
          <w:rFonts w:ascii="Titillium Web" w:hAnsi="Titillium Web"/>
          <w:lang w:val="es-ES"/>
        </w:rPr>
        <w:t>actúa</w:t>
      </w:r>
      <w:r>
        <w:rPr>
          <w:rFonts w:ascii="Titillium Web" w:hAnsi="Titillium Web"/>
          <w:lang w:val="es-ES"/>
        </w:rPr>
        <w:t xml:space="preserve"> como un </w:t>
      </w:r>
      <w:r>
        <w:rPr>
          <w:rFonts w:ascii="Titillium Web" w:hAnsi="Titillium Web"/>
          <w:lang w:val="es-ES"/>
        </w:rPr>
        <w:lastRenderedPageBreak/>
        <w:t xml:space="preserve">cuerpo de resolución de problemas y a veces como un cuerpo de transmisión de querellas </w:t>
      </w:r>
    </w:p>
    <w:p w14:paraId="0721D3CE" w14:textId="77777777" w:rsidR="0067501C" w:rsidRPr="00D80516" w:rsidRDefault="0067501C" w:rsidP="0067501C">
      <w:pPr>
        <w:pStyle w:val="ListParagraph"/>
        <w:spacing w:after="0" w:line="240" w:lineRule="auto"/>
        <w:rPr>
          <w:rFonts w:ascii="Titillium Web" w:hAnsi="Titillium Web"/>
          <w:lang w:val="es-ES"/>
        </w:rPr>
      </w:pPr>
    </w:p>
    <w:p w14:paraId="37C72947" w14:textId="39A24DC7" w:rsidR="0067501C" w:rsidRPr="00D80516" w:rsidRDefault="007D79BE" w:rsidP="0067501C">
      <w:pPr>
        <w:spacing w:after="0" w:line="240" w:lineRule="auto"/>
        <w:rPr>
          <w:rFonts w:ascii="Titillium Web" w:hAnsi="Titillium Web"/>
          <w:b/>
          <w:lang w:val="es-ES"/>
        </w:rPr>
      </w:pPr>
      <w:r>
        <w:rPr>
          <w:rFonts w:ascii="Titillium Web" w:hAnsi="Titillium Web"/>
          <w:b/>
          <w:lang w:val="es-ES"/>
        </w:rPr>
        <w:t>Misceláneo</w:t>
      </w:r>
    </w:p>
    <w:p w14:paraId="6E875F68" w14:textId="2DF5A40D" w:rsidR="0067501C" w:rsidRPr="00D80516" w:rsidRDefault="007D79BE" w:rsidP="0067501C">
      <w:pPr>
        <w:pStyle w:val="ListParagraph"/>
        <w:numPr>
          <w:ilvl w:val="0"/>
          <w:numId w:val="1"/>
        </w:numPr>
        <w:spacing w:after="0" w:line="240" w:lineRule="auto"/>
        <w:rPr>
          <w:rFonts w:ascii="Titillium Web" w:hAnsi="Titillium Web"/>
          <w:lang w:val="es-ES"/>
        </w:rPr>
      </w:pPr>
      <w:r>
        <w:rPr>
          <w:rFonts w:ascii="Titillium Web" w:hAnsi="Titillium Web"/>
          <w:lang w:val="es-ES"/>
        </w:rPr>
        <w:t xml:space="preserve">Algunas cooperativas han tomado el </w:t>
      </w:r>
      <w:r w:rsidR="0067501C" w:rsidRPr="00D80516">
        <w:rPr>
          <w:rFonts w:ascii="Titillium Web" w:hAnsi="Titillium Web"/>
          <w:lang w:val="es-ES"/>
        </w:rPr>
        <w:t>Myers-Briggs</w:t>
      </w:r>
      <w:r>
        <w:rPr>
          <w:rFonts w:ascii="Titillium Web" w:hAnsi="Titillium Web"/>
          <w:lang w:val="es-ES"/>
        </w:rPr>
        <w:t xml:space="preserve"> u otras evaluaciones de personalidad como herramienta para describir tanto sus estilos individuales de comunicación como su dinámica grupal </w:t>
      </w:r>
    </w:p>
    <w:p w14:paraId="235C5036" w14:textId="77777777" w:rsidR="004F28B1" w:rsidRPr="00D80516" w:rsidRDefault="004F28B1">
      <w:pPr>
        <w:rPr>
          <w:rFonts w:ascii="Titillium Web" w:hAnsi="Titillium Web"/>
          <w:lang w:val="es-ES"/>
        </w:rPr>
      </w:pPr>
    </w:p>
    <w:sectPr w:rsidR="004F28B1" w:rsidRPr="00D80516" w:rsidSect="002033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37E85" w14:textId="77777777" w:rsidR="009F1187" w:rsidRDefault="009F1187" w:rsidP="004116DF">
      <w:r>
        <w:separator/>
      </w:r>
    </w:p>
  </w:endnote>
  <w:endnote w:type="continuationSeparator" w:id="0">
    <w:p w14:paraId="7B05A879" w14:textId="77777777" w:rsidR="009F1187" w:rsidRDefault="009F1187" w:rsidP="0041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tillium Web">
    <w:altName w:val="PT Serif Caption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71482" w14:textId="77777777" w:rsidR="009F1187" w:rsidRDefault="009F1187" w:rsidP="004116DF">
      <w:r>
        <w:separator/>
      </w:r>
    </w:p>
  </w:footnote>
  <w:footnote w:type="continuationSeparator" w:id="0">
    <w:p w14:paraId="767F8A2E" w14:textId="77777777" w:rsidR="009F1187" w:rsidRDefault="009F1187" w:rsidP="004116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8BA8" w14:textId="77777777" w:rsidR="009F1187" w:rsidRDefault="009F1187" w:rsidP="0022582A">
    <w:pPr>
      <w:pStyle w:val="Header"/>
    </w:pPr>
    <w:r>
      <w:rPr>
        <w:noProof/>
        <w:lang w:bidi="ar-SA"/>
      </w:rPr>
      <w:drawing>
        <wp:inline distT="0" distB="0" distL="0" distR="0" wp14:anchorId="1D7D3C55" wp14:editId="68804844">
          <wp:extent cx="1790700" cy="358140"/>
          <wp:effectExtent l="0" t="0" r="0" b="0"/>
          <wp:docPr id="1" name="Picture 1" descr="C:\Users\RFC\Dropbox\DAWI Main\DAWI Communications\DAWI_logo_files\DAWI_logo_1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FC\Dropbox\DAWI Main\DAWI Communications\DAWI_logo_files\DAWI_logo_1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7AF0"/>
    <w:multiLevelType w:val="hybridMultilevel"/>
    <w:tmpl w:val="A9CC65E2"/>
    <w:lvl w:ilvl="0" w:tplc="49BAB5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C72EA"/>
    <w:multiLevelType w:val="hybridMultilevel"/>
    <w:tmpl w:val="BC9AE3C0"/>
    <w:lvl w:ilvl="0" w:tplc="90EE993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1C"/>
    <w:rsid w:val="000A7D36"/>
    <w:rsid w:val="00140853"/>
    <w:rsid w:val="00167883"/>
    <w:rsid w:val="0020099D"/>
    <w:rsid w:val="002033C6"/>
    <w:rsid w:val="0022582A"/>
    <w:rsid w:val="002339AC"/>
    <w:rsid w:val="00372630"/>
    <w:rsid w:val="004116DF"/>
    <w:rsid w:val="004F28B1"/>
    <w:rsid w:val="0067501C"/>
    <w:rsid w:val="00701C14"/>
    <w:rsid w:val="007D58F6"/>
    <w:rsid w:val="007D79BE"/>
    <w:rsid w:val="007F57D2"/>
    <w:rsid w:val="009460E7"/>
    <w:rsid w:val="009D5CF3"/>
    <w:rsid w:val="009F1187"/>
    <w:rsid w:val="00AB693C"/>
    <w:rsid w:val="00B01768"/>
    <w:rsid w:val="00B33E3F"/>
    <w:rsid w:val="00C66FAA"/>
    <w:rsid w:val="00D2057F"/>
    <w:rsid w:val="00D80516"/>
    <w:rsid w:val="00DC7F0E"/>
    <w:rsid w:val="00F541EA"/>
    <w:rsid w:val="00F67BE3"/>
    <w:rsid w:val="00FB547D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B3E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1C"/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116DF"/>
  </w:style>
  <w:style w:type="paragraph" w:styleId="Footer">
    <w:name w:val="footer"/>
    <w:basedOn w:val="Normal"/>
    <w:link w:val="FooterChar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FooterChar">
    <w:name w:val="Footer Char"/>
    <w:basedOn w:val="DefaultParagraphFont"/>
    <w:link w:val="Footer"/>
    <w:rsid w:val="004116DF"/>
  </w:style>
  <w:style w:type="paragraph" w:styleId="BalloonText">
    <w:name w:val="Balloon Text"/>
    <w:basedOn w:val="Normal"/>
    <w:link w:val="BalloonTextChar"/>
    <w:uiPriority w:val="99"/>
    <w:semiHidden/>
    <w:unhideWhenUsed/>
    <w:rsid w:val="004116DF"/>
    <w:rPr>
      <w:rFonts w:ascii="Tahoma" w:eastAsiaTheme="minorHAnsi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1C"/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116DF"/>
  </w:style>
  <w:style w:type="paragraph" w:styleId="Footer">
    <w:name w:val="footer"/>
    <w:basedOn w:val="Normal"/>
    <w:link w:val="FooterChar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FooterChar">
    <w:name w:val="Footer Char"/>
    <w:basedOn w:val="DefaultParagraphFont"/>
    <w:link w:val="Footer"/>
    <w:rsid w:val="004116DF"/>
  </w:style>
  <w:style w:type="paragraph" w:styleId="BalloonText">
    <w:name w:val="Balloon Text"/>
    <w:basedOn w:val="Normal"/>
    <w:link w:val="BalloonTextChar"/>
    <w:uiPriority w:val="99"/>
    <w:semiHidden/>
    <w:unhideWhenUsed/>
    <w:rsid w:val="004116DF"/>
    <w:rPr>
      <w:rFonts w:ascii="Tahoma" w:eastAsiaTheme="minorHAnsi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Dropbox\DAWI%20Main\DAWI%20Communications\Templates\Temporary%20Letterhead%20for%20DAWI,%20March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\Users\Joe\Dropbox\DAWI Main\DAWI Communications\Templates\Temporary Letterhead for DAWI, March 2014.dotx</Template>
  <TotalTime>1</TotalTime>
  <Pages>3</Pages>
  <Words>751</Words>
  <Characters>4286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Rinehart</dc:creator>
  <cp:lastModifiedBy>Maria Garcia</cp:lastModifiedBy>
  <cp:revision>3</cp:revision>
  <dcterms:created xsi:type="dcterms:W3CDTF">2016-09-01T04:38:00Z</dcterms:created>
  <dcterms:modified xsi:type="dcterms:W3CDTF">2016-09-01T04:38:00Z</dcterms:modified>
</cp:coreProperties>
</file>